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3" w:rsidRPr="00EC172A" w:rsidRDefault="00423F13" w:rsidP="00C363B6">
      <w:pPr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8A35CF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 w:rsidR="00DA607F">
        <w:rPr>
          <w:rFonts w:ascii="Tahoma" w:hAnsi="Tahoma" w:cs="Tahoma"/>
          <w:sz w:val="21"/>
          <w:szCs w:val="21"/>
        </w:rPr>
        <w:t>1</w:t>
      </w:r>
      <w:r w:rsidR="0017565B">
        <w:rPr>
          <w:rFonts w:ascii="Tahoma" w:hAnsi="Tahoma" w:cs="Tahoma"/>
          <w:sz w:val="21"/>
          <w:szCs w:val="21"/>
        </w:rPr>
        <w:t>2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="00D52F3D" w:rsidRPr="00EC172A">
        <w:rPr>
          <w:rFonts w:ascii="Tahoma" w:hAnsi="Tahoma" w:cs="Tahoma"/>
          <w:sz w:val="21"/>
          <w:szCs w:val="21"/>
        </w:rPr>
        <w:t>09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Pr="00EC172A">
        <w:rPr>
          <w:rFonts w:ascii="Tahoma" w:hAnsi="Tahoma" w:cs="Tahoma"/>
          <w:sz w:val="21"/>
          <w:szCs w:val="21"/>
        </w:rPr>
        <w:t>201</w:t>
      </w:r>
      <w:r w:rsidR="00D52F3D" w:rsidRPr="00EC172A">
        <w:rPr>
          <w:rFonts w:ascii="Tahoma" w:hAnsi="Tahoma" w:cs="Tahoma"/>
          <w:sz w:val="21"/>
          <w:szCs w:val="21"/>
        </w:rPr>
        <w:t>8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D52F3D" w:rsidRPr="00EC172A" w:rsidRDefault="00D52F3D" w:rsidP="00C363B6">
      <w:pPr>
        <w:pStyle w:val="Tytu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155FA8" w:rsidRPr="00EC172A" w:rsidRDefault="00155FA8" w:rsidP="00C363B6">
      <w:pPr>
        <w:pStyle w:val="Tytu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="008A35CF"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tblInd w:w="675" w:type="dxa"/>
        <w:tblLook w:val="04A0"/>
      </w:tblPr>
      <w:tblGrid>
        <w:gridCol w:w="1552"/>
        <w:gridCol w:w="7230"/>
      </w:tblGrid>
      <w:tr w:rsidR="00423F13" w:rsidRPr="00EC172A" w:rsidTr="00E82976">
        <w:tc>
          <w:tcPr>
            <w:tcW w:w="1560" w:type="dxa"/>
          </w:tcPr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Dotyczy:</w:t>
            </w:r>
          </w:p>
        </w:tc>
        <w:tc>
          <w:tcPr>
            <w:tcW w:w="7311" w:type="dxa"/>
          </w:tcPr>
          <w:p w:rsidR="00D52F3D" w:rsidRPr="00EC172A" w:rsidRDefault="00D52F3D" w:rsidP="00D52F3D">
            <w:pPr>
              <w:spacing w:line="100" w:lineRule="atLeast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odpowiedzi na zapytanie i 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modyfikacj</w:t>
            </w: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ę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treści </w:t>
            </w:r>
            <w:r w:rsidR="008563D5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zaproszenia do złożenia oferty cenowej (ZOC)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w postępowaniu o udzielenie zamówienia na </w:t>
            </w:r>
            <w:r w:rsidR="008563D5" w:rsidRPr="00EC172A">
              <w:rPr>
                <w:rFonts w:ascii="Tahoma" w:hAnsi="Tahoma" w:cs="Tahoma"/>
                <w:b/>
                <w:sz w:val="21"/>
                <w:szCs w:val="21"/>
              </w:rPr>
              <w:t>„</w:t>
            </w:r>
            <w:r w:rsidR="00E82976">
              <w:rPr>
                <w:rFonts w:ascii="Tahoma" w:hAnsi="Tahoma" w:cs="Tahoma"/>
                <w:b/>
                <w:sz w:val="21"/>
                <w:szCs w:val="21"/>
              </w:rPr>
              <w:t>S</w:t>
            </w:r>
            <w:r w:rsidRPr="00EC172A">
              <w:rPr>
                <w:rFonts w:ascii="Tahoma" w:hAnsi="Tahoma" w:cs="Tahoma"/>
                <w:b/>
                <w:bCs/>
                <w:sz w:val="21"/>
                <w:szCs w:val="21"/>
              </w:rPr>
              <w:t>ukcesywną dostawę oleju napędowego do stacji paliw Miejskiego Zakładu Komunikacyjnego w Tomaszowie Mazowieckim Sp. z o.o.</w:t>
            </w:r>
          </w:p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  <w:tr w:rsidR="00423F13" w:rsidRPr="00EC172A" w:rsidTr="00E82976">
        <w:tc>
          <w:tcPr>
            <w:tcW w:w="1560" w:type="dxa"/>
          </w:tcPr>
          <w:p w:rsidR="008A35CF" w:rsidRPr="00EC172A" w:rsidRDefault="008A35CF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8A35CF" w:rsidRPr="00EC172A" w:rsidRDefault="008A35CF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423F13" w:rsidRPr="00EC172A" w:rsidRDefault="00423F13" w:rsidP="00D52F3D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highlight w:val="yellow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Znak sprawy: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 xml:space="preserve"> 4/6/201</w:t>
            </w:r>
            <w:r w:rsidR="00D52F3D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7311" w:type="dxa"/>
          </w:tcPr>
          <w:p w:rsidR="00423F13" w:rsidRPr="00EC172A" w:rsidRDefault="00423F13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8A35CF" w:rsidRPr="00EC172A" w:rsidRDefault="008A35CF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</w:tbl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Cs/>
          <w:sz w:val="21"/>
          <w:szCs w:val="21"/>
        </w:rPr>
      </w:pPr>
      <w:r w:rsidRPr="00EC172A">
        <w:rPr>
          <w:rFonts w:ascii="Tahoma" w:hAnsi="Tahoma" w:cs="Tahoma"/>
          <w:bCs/>
          <w:sz w:val="21"/>
          <w:szCs w:val="21"/>
        </w:rPr>
        <w:t xml:space="preserve">W dniu </w:t>
      </w:r>
      <w:r w:rsidR="00DA607F">
        <w:rPr>
          <w:rFonts w:ascii="Tahoma" w:hAnsi="Tahoma" w:cs="Tahoma"/>
          <w:bCs/>
          <w:sz w:val="21"/>
          <w:szCs w:val="21"/>
        </w:rPr>
        <w:t>10</w:t>
      </w:r>
      <w:r w:rsidR="00D52F3D" w:rsidRPr="00EC172A">
        <w:rPr>
          <w:rFonts w:ascii="Tahoma" w:hAnsi="Tahoma" w:cs="Tahoma"/>
          <w:bCs/>
          <w:sz w:val="21"/>
          <w:szCs w:val="21"/>
        </w:rPr>
        <w:t>.09.2018</w:t>
      </w:r>
      <w:r w:rsidRPr="00EC172A">
        <w:rPr>
          <w:rFonts w:ascii="Tahoma" w:hAnsi="Tahoma" w:cs="Tahoma"/>
          <w:bCs/>
          <w:sz w:val="21"/>
          <w:szCs w:val="21"/>
        </w:rPr>
        <w:t xml:space="preserve"> r. </w:t>
      </w:r>
      <w:r w:rsidR="00155FA8" w:rsidRPr="00EC172A">
        <w:rPr>
          <w:rFonts w:ascii="Tahoma" w:hAnsi="Tahoma" w:cs="Tahoma"/>
          <w:bCs/>
          <w:sz w:val="21"/>
          <w:szCs w:val="21"/>
        </w:rPr>
        <w:t>W</w:t>
      </w:r>
      <w:r w:rsidRPr="00EC172A">
        <w:rPr>
          <w:rFonts w:ascii="Tahoma" w:hAnsi="Tahoma" w:cs="Tahoma"/>
          <w:bCs/>
          <w:sz w:val="21"/>
          <w:szCs w:val="21"/>
        </w:rPr>
        <w:t>ykonawc</w:t>
      </w:r>
      <w:r w:rsidR="00D52F3D" w:rsidRPr="00EC172A">
        <w:rPr>
          <w:rFonts w:ascii="Tahoma" w:hAnsi="Tahoma" w:cs="Tahoma"/>
          <w:bCs/>
          <w:sz w:val="21"/>
          <w:szCs w:val="21"/>
        </w:rPr>
        <w:t>a</w:t>
      </w:r>
      <w:r w:rsidR="00155FA8" w:rsidRPr="00EC172A">
        <w:rPr>
          <w:rFonts w:ascii="Tahoma" w:hAnsi="Tahoma" w:cs="Tahoma"/>
          <w:bCs/>
          <w:sz w:val="21"/>
          <w:szCs w:val="21"/>
        </w:rPr>
        <w:t xml:space="preserve"> </w:t>
      </w:r>
      <w:r w:rsidRPr="00EC172A">
        <w:rPr>
          <w:rFonts w:ascii="Tahoma" w:hAnsi="Tahoma" w:cs="Tahoma"/>
          <w:bCs/>
          <w:sz w:val="21"/>
          <w:szCs w:val="21"/>
        </w:rPr>
        <w:t>zwróci</w:t>
      </w:r>
      <w:r w:rsidR="00D52F3D" w:rsidRPr="00EC172A">
        <w:rPr>
          <w:rFonts w:ascii="Tahoma" w:hAnsi="Tahoma" w:cs="Tahoma"/>
          <w:bCs/>
          <w:sz w:val="21"/>
          <w:szCs w:val="21"/>
        </w:rPr>
        <w:t>ł</w:t>
      </w:r>
      <w:r w:rsidRPr="00EC172A">
        <w:rPr>
          <w:rFonts w:ascii="Tahoma" w:hAnsi="Tahoma" w:cs="Tahoma"/>
          <w:bCs/>
          <w:sz w:val="21"/>
          <w:szCs w:val="21"/>
        </w:rPr>
        <w:t xml:space="preserve"> się pisemnie do Zamawiającego w sprawie </w:t>
      </w:r>
      <w:r w:rsidR="00D52F3D" w:rsidRPr="00EC172A">
        <w:rPr>
          <w:rFonts w:ascii="Tahoma" w:hAnsi="Tahoma" w:cs="Tahoma"/>
          <w:bCs/>
          <w:sz w:val="21"/>
          <w:szCs w:val="21"/>
        </w:rPr>
        <w:t>odpowiedzi</w:t>
      </w:r>
      <w:r w:rsidRPr="00EC172A">
        <w:rPr>
          <w:rFonts w:ascii="Tahoma" w:hAnsi="Tahoma" w:cs="Tahoma"/>
          <w:bCs/>
          <w:sz w:val="21"/>
          <w:szCs w:val="21"/>
        </w:rPr>
        <w:t xml:space="preserve"> </w:t>
      </w:r>
      <w:r w:rsidR="00902C3B">
        <w:rPr>
          <w:rFonts w:ascii="Tahoma" w:hAnsi="Tahoma" w:cs="Tahoma"/>
          <w:bCs/>
          <w:sz w:val="21"/>
          <w:szCs w:val="21"/>
        </w:rPr>
        <w:br/>
        <w:t>i</w:t>
      </w:r>
      <w:r w:rsidRPr="00EC172A">
        <w:rPr>
          <w:rFonts w:ascii="Tahoma" w:hAnsi="Tahoma" w:cs="Tahoma"/>
          <w:bCs/>
          <w:sz w:val="21"/>
          <w:szCs w:val="21"/>
        </w:rPr>
        <w:t xml:space="preserve"> modyfikacji treści </w:t>
      </w:r>
      <w:r w:rsidR="008563D5" w:rsidRPr="00EC172A">
        <w:rPr>
          <w:rFonts w:ascii="Tahoma" w:hAnsi="Tahoma" w:cs="Tahoma"/>
          <w:bCs/>
          <w:sz w:val="21"/>
          <w:szCs w:val="21"/>
        </w:rPr>
        <w:t>zaproszenia do złożenia oferty</w:t>
      </w:r>
      <w:r w:rsidRPr="00EC172A">
        <w:rPr>
          <w:rFonts w:ascii="Tahoma" w:hAnsi="Tahoma" w:cs="Tahoma"/>
          <w:bCs/>
          <w:sz w:val="21"/>
          <w:szCs w:val="21"/>
        </w:rPr>
        <w:t>:</w:t>
      </w:r>
    </w:p>
    <w:p w:rsidR="00155FA8" w:rsidRPr="00EC172A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155FA8" w:rsidRPr="00EC172A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8563D5" w:rsidRPr="00EC172A" w:rsidRDefault="008563D5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  <w:u w:val="single"/>
        </w:rPr>
        <w:t>Pytani</w:t>
      </w:r>
      <w:r w:rsidR="00DA607F">
        <w:rPr>
          <w:rFonts w:ascii="Tahoma" w:hAnsi="Tahoma" w:cs="Tahoma"/>
          <w:b/>
          <w:sz w:val="21"/>
          <w:szCs w:val="21"/>
          <w:u w:val="single"/>
        </w:rPr>
        <w:t>a Wykonawcy i odpowiedzi Za</w:t>
      </w:r>
      <w:r w:rsidR="0068398F">
        <w:rPr>
          <w:rFonts w:ascii="Tahoma" w:hAnsi="Tahoma" w:cs="Tahoma"/>
          <w:b/>
          <w:sz w:val="21"/>
          <w:szCs w:val="21"/>
          <w:u w:val="single"/>
        </w:rPr>
        <w:t>m</w:t>
      </w:r>
      <w:r w:rsidR="00DA607F">
        <w:rPr>
          <w:rFonts w:ascii="Tahoma" w:hAnsi="Tahoma" w:cs="Tahoma"/>
          <w:b/>
          <w:sz w:val="21"/>
          <w:szCs w:val="21"/>
          <w:u w:val="single"/>
        </w:rPr>
        <w:t>aw</w:t>
      </w:r>
      <w:r w:rsidR="0068398F">
        <w:rPr>
          <w:rFonts w:ascii="Tahoma" w:hAnsi="Tahoma" w:cs="Tahoma"/>
          <w:b/>
          <w:sz w:val="21"/>
          <w:szCs w:val="21"/>
          <w:u w:val="single"/>
        </w:rPr>
        <w:t>ia</w:t>
      </w:r>
      <w:r w:rsidR="00DA607F">
        <w:rPr>
          <w:rFonts w:ascii="Tahoma" w:hAnsi="Tahoma" w:cs="Tahoma"/>
          <w:b/>
          <w:sz w:val="21"/>
          <w:szCs w:val="21"/>
          <w:u w:val="single"/>
        </w:rPr>
        <w:t>jącego</w:t>
      </w:r>
      <w:r w:rsidR="00EC172A" w:rsidRPr="00EC172A">
        <w:rPr>
          <w:rFonts w:ascii="Tahoma" w:hAnsi="Tahoma" w:cs="Tahoma"/>
          <w:b/>
          <w:sz w:val="21"/>
          <w:szCs w:val="21"/>
          <w:u w:val="single"/>
        </w:rPr>
        <w:t>:</w:t>
      </w:r>
    </w:p>
    <w:p w:rsidR="00DA607F" w:rsidRDefault="00DA607F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Pytanie </w:t>
      </w:r>
      <w:r w:rsidRPr="00DA607F">
        <w:rPr>
          <w:rFonts w:ascii="Tahoma" w:hAnsi="Tahoma" w:cs="Tahoma"/>
          <w:sz w:val="21"/>
          <w:szCs w:val="21"/>
        </w:rPr>
        <w:t xml:space="preserve">1.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 xml:space="preserve">Dot. zaproszenia ust. 3 </w:t>
      </w:r>
      <w:proofErr w:type="spellStart"/>
      <w:r w:rsidRPr="00DA607F">
        <w:rPr>
          <w:rFonts w:ascii="Tahoma" w:hAnsi="Tahoma" w:cs="Tahoma"/>
          <w:sz w:val="21"/>
          <w:szCs w:val="21"/>
        </w:rPr>
        <w:t>pkt</w:t>
      </w:r>
      <w:proofErr w:type="spellEnd"/>
      <w:r w:rsidRPr="00DA607F">
        <w:rPr>
          <w:rFonts w:ascii="Tahoma" w:hAnsi="Tahoma" w:cs="Tahoma"/>
          <w:sz w:val="21"/>
          <w:szCs w:val="21"/>
        </w:rPr>
        <w:t xml:space="preserve"> 3.3. lit. a) i b) (X1: 390 m3, X2: 72 m3), § 1 ust 2. załącznika nr 3 projektu umowy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(X</w:t>
      </w:r>
      <w:r w:rsidRPr="00DA607F">
        <w:rPr>
          <w:rFonts w:ascii="Tahoma" w:hAnsi="Tahoma" w:cs="Tahoma"/>
          <w:sz w:val="21"/>
          <w:szCs w:val="21"/>
          <w:vertAlign w:val="subscript"/>
        </w:rPr>
        <w:t>1</w:t>
      </w:r>
      <w:r w:rsidRPr="00DA607F">
        <w:rPr>
          <w:rFonts w:ascii="Tahoma" w:hAnsi="Tahoma" w:cs="Tahoma"/>
          <w:sz w:val="21"/>
          <w:szCs w:val="21"/>
        </w:rPr>
        <w:t>: 390 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>, X</w:t>
      </w:r>
      <w:r w:rsidRPr="00DA607F">
        <w:rPr>
          <w:rFonts w:ascii="Tahoma" w:hAnsi="Tahoma" w:cs="Tahoma"/>
          <w:sz w:val="21"/>
          <w:szCs w:val="21"/>
          <w:vertAlign w:val="subscript"/>
        </w:rPr>
        <w:t>2</w:t>
      </w:r>
      <w:r w:rsidRPr="00DA607F">
        <w:rPr>
          <w:rFonts w:ascii="Tahoma" w:hAnsi="Tahoma" w:cs="Tahoma"/>
          <w:sz w:val="21"/>
          <w:szCs w:val="21"/>
        </w:rPr>
        <w:t>: 72 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>) oraz załącznika nr 1 do zaproszenia oferta, tabela kolumna 3 (ONX</w:t>
      </w:r>
      <w:r w:rsidRPr="00DA607F">
        <w:rPr>
          <w:rFonts w:ascii="Tahoma" w:hAnsi="Tahoma" w:cs="Tahoma"/>
          <w:sz w:val="21"/>
          <w:szCs w:val="21"/>
          <w:vertAlign w:val="subscript"/>
        </w:rPr>
        <w:t>1</w:t>
      </w:r>
      <w:r w:rsidRPr="00DA607F">
        <w:rPr>
          <w:rFonts w:ascii="Tahoma" w:hAnsi="Tahoma" w:cs="Tahoma"/>
          <w:sz w:val="21"/>
          <w:szCs w:val="21"/>
        </w:rPr>
        <w:t>: 450 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ONX</w:t>
      </w:r>
      <w:r w:rsidRPr="00DA607F">
        <w:rPr>
          <w:rFonts w:ascii="Tahoma" w:hAnsi="Tahoma" w:cs="Tahoma"/>
          <w:sz w:val="21"/>
          <w:szCs w:val="21"/>
          <w:vertAlign w:val="subscript"/>
        </w:rPr>
        <w:t>2</w:t>
      </w:r>
      <w:r w:rsidRPr="00DA607F">
        <w:rPr>
          <w:rFonts w:ascii="Tahoma" w:hAnsi="Tahoma" w:cs="Tahoma"/>
          <w:sz w:val="21"/>
          <w:szCs w:val="21"/>
        </w:rPr>
        <w:t>: 100 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>) – Mamy różne ilości</w:t>
      </w:r>
      <w:r w:rsidR="001D4B9B">
        <w:rPr>
          <w:rFonts w:ascii="Tahoma" w:hAnsi="Tahoma" w:cs="Tahoma"/>
          <w:sz w:val="21"/>
          <w:szCs w:val="21"/>
        </w:rPr>
        <w:t xml:space="preserve"> poszczególnych paliw. Proszę o </w:t>
      </w:r>
      <w:r w:rsidRPr="00DA607F">
        <w:rPr>
          <w:rFonts w:ascii="Tahoma" w:hAnsi="Tahoma" w:cs="Tahoma"/>
          <w:sz w:val="21"/>
          <w:szCs w:val="21"/>
        </w:rPr>
        <w:t>doprecyzowanie szacunkowego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zapotrzebowania na poszczególne paliwa.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Odpowiedź na pytanie </w:t>
      </w:r>
      <w:r w:rsidRPr="00DA607F">
        <w:rPr>
          <w:rFonts w:ascii="Tahoma" w:hAnsi="Tahoma" w:cs="Tahoma"/>
          <w:sz w:val="21"/>
          <w:szCs w:val="21"/>
        </w:rPr>
        <w:t>1.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 xml:space="preserve">Zamawiający poprawia ilości poszczególnych paliw w załączniku nr 1 do zaproszenia </w:t>
      </w:r>
      <w:r w:rsidR="0068398F">
        <w:rPr>
          <w:rFonts w:ascii="Tahoma" w:hAnsi="Tahoma" w:cs="Tahoma"/>
          <w:sz w:val="21"/>
          <w:szCs w:val="21"/>
        </w:rPr>
        <w:t xml:space="preserve">tabela kolumna 3 </w:t>
      </w:r>
      <w:r w:rsidRPr="00DA607F">
        <w:rPr>
          <w:rFonts w:ascii="Tahoma" w:hAnsi="Tahoma" w:cs="Tahoma"/>
          <w:sz w:val="21"/>
          <w:szCs w:val="21"/>
        </w:rPr>
        <w:t>na ilości</w:t>
      </w:r>
      <w:r w:rsidR="0068398F">
        <w:rPr>
          <w:rFonts w:ascii="Tahoma" w:hAnsi="Tahoma" w:cs="Tahoma"/>
          <w:sz w:val="21"/>
          <w:szCs w:val="21"/>
        </w:rPr>
        <w:t xml:space="preserve">: wiersz 1 </w:t>
      </w:r>
      <w:r w:rsidRPr="00DA607F">
        <w:rPr>
          <w:rFonts w:ascii="Tahoma" w:hAnsi="Tahoma" w:cs="Tahoma"/>
          <w:sz w:val="21"/>
          <w:szCs w:val="21"/>
        </w:rPr>
        <w:t xml:space="preserve">  - X</w:t>
      </w:r>
      <w:r w:rsidRPr="00DA607F">
        <w:rPr>
          <w:rFonts w:ascii="Tahoma" w:hAnsi="Tahoma" w:cs="Tahoma"/>
          <w:sz w:val="21"/>
          <w:szCs w:val="21"/>
          <w:vertAlign w:val="subscript"/>
        </w:rPr>
        <w:t>1</w:t>
      </w:r>
      <w:r w:rsidRPr="00DA607F">
        <w:rPr>
          <w:rFonts w:ascii="Tahoma" w:hAnsi="Tahoma" w:cs="Tahoma"/>
          <w:sz w:val="21"/>
          <w:szCs w:val="21"/>
        </w:rPr>
        <w:t xml:space="preserve">: 390 </w:t>
      </w:r>
      <w:r w:rsidR="0068398F">
        <w:rPr>
          <w:rFonts w:ascii="Tahoma" w:hAnsi="Tahoma" w:cs="Tahoma"/>
          <w:sz w:val="21"/>
          <w:szCs w:val="21"/>
        </w:rPr>
        <w:t>(</w:t>
      </w:r>
      <w:r w:rsidRPr="00DA607F">
        <w:rPr>
          <w:rFonts w:ascii="Tahoma" w:hAnsi="Tahoma" w:cs="Tahoma"/>
          <w:sz w:val="21"/>
          <w:szCs w:val="21"/>
        </w:rPr>
        <w:t>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="0068398F">
        <w:rPr>
          <w:rFonts w:ascii="Tahoma" w:hAnsi="Tahoma" w:cs="Tahoma"/>
          <w:sz w:val="21"/>
          <w:szCs w:val="21"/>
        </w:rPr>
        <w:t>)</w:t>
      </w:r>
      <w:r w:rsidRPr="00DA607F">
        <w:rPr>
          <w:rFonts w:ascii="Tahoma" w:hAnsi="Tahoma" w:cs="Tahoma"/>
          <w:sz w:val="21"/>
          <w:szCs w:val="21"/>
        </w:rPr>
        <w:t xml:space="preserve"> </w:t>
      </w:r>
      <w:r w:rsidR="0068398F">
        <w:rPr>
          <w:rFonts w:ascii="Tahoma" w:hAnsi="Tahoma" w:cs="Tahoma"/>
          <w:sz w:val="21"/>
          <w:szCs w:val="21"/>
        </w:rPr>
        <w:t xml:space="preserve">wiersz 2 - </w:t>
      </w:r>
      <w:r w:rsidRPr="00DA607F">
        <w:rPr>
          <w:rFonts w:ascii="Tahoma" w:hAnsi="Tahoma" w:cs="Tahoma"/>
          <w:sz w:val="21"/>
          <w:szCs w:val="21"/>
        </w:rPr>
        <w:t>X</w:t>
      </w:r>
      <w:r w:rsidRPr="00DA607F">
        <w:rPr>
          <w:rFonts w:ascii="Tahoma" w:hAnsi="Tahoma" w:cs="Tahoma"/>
          <w:sz w:val="21"/>
          <w:szCs w:val="21"/>
          <w:vertAlign w:val="subscript"/>
        </w:rPr>
        <w:t>2</w:t>
      </w:r>
      <w:r w:rsidRPr="00DA607F">
        <w:rPr>
          <w:rFonts w:ascii="Tahoma" w:hAnsi="Tahoma" w:cs="Tahoma"/>
          <w:sz w:val="21"/>
          <w:szCs w:val="21"/>
        </w:rPr>
        <w:t xml:space="preserve">: 72 </w:t>
      </w:r>
      <w:r w:rsidR="0068398F">
        <w:rPr>
          <w:rFonts w:ascii="Tahoma" w:hAnsi="Tahoma" w:cs="Tahoma"/>
          <w:sz w:val="21"/>
          <w:szCs w:val="21"/>
        </w:rPr>
        <w:t>(</w:t>
      </w:r>
      <w:r w:rsidRPr="00DA607F">
        <w:rPr>
          <w:rFonts w:ascii="Tahoma" w:hAnsi="Tahoma" w:cs="Tahoma"/>
          <w:sz w:val="21"/>
          <w:szCs w:val="21"/>
        </w:rPr>
        <w:t>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="0068398F">
        <w:rPr>
          <w:rFonts w:ascii="Tahoma" w:hAnsi="Tahoma" w:cs="Tahoma"/>
          <w:sz w:val="21"/>
          <w:szCs w:val="21"/>
        </w:rPr>
        <w:t>).</w:t>
      </w:r>
      <w:r w:rsidRPr="00DA607F">
        <w:rPr>
          <w:rFonts w:ascii="Tahoma" w:hAnsi="Tahoma" w:cs="Tahoma"/>
          <w:sz w:val="21"/>
          <w:szCs w:val="21"/>
        </w:rPr>
        <w:t xml:space="preserve">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2.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 xml:space="preserve">Dot. zaproszenia ust. 3 </w:t>
      </w:r>
      <w:proofErr w:type="spellStart"/>
      <w:r w:rsidRPr="00DA607F">
        <w:rPr>
          <w:rFonts w:ascii="Tahoma" w:hAnsi="Tahoma" w:cs="Tahoma"/>
          <w:sz w:val="21"/>
          <w:szCs w:val="21"/>
        </w:rPr>
        <w:t>pkt</w:t>
      </w:r>
      <w:proofErr w:type="spellEnd"/>
      <w:r w:rsidRPr="00DA607F">
        <w:rPr>
          <w:rFonts w:ascii="Tahoma" w:hAnsi="Tahoma" w:cs="Tahoma"/>
          <w:sz w:val="21"/>
          <w:szCs w:val="21"/>
        </w:rPr>
        <w:t xml:space="preserve"> 3.7. lit. c) i ust. 4 </w:t>
      </w:r>
      <w:proofErr w:type="spellStart"/>
      <w:r w:rsidRPr="00DA607F">
        <w:rPr>
          <w:rFonts w:ascii="Tahoma" w:hAnsi="Tahoma" w:cs="Tahoma"/>
          <w:sz w:val="21"/>
          <w:szCs w:val="21"/>
        </w:rPr>
        <w:t>pkt</w:t>
      </w:r>
      <w:proofErr w:type="spellEnd"/>
      <w:r w:rsidRPr="00DA607F">
        <w:rPr>
          <w:rFonts w:ascii="Tahoma" w:hAnsi="Tahoma" w:cs="Tahoma"/>
          <w:sz w:val="21"/>
          <w:szCs w:val="21"/>
        </w:rPr>
        <w:t xml:space="preserve"> 4.6., § 5 ust. 2 załącznika nr 3 projektu umowy, załącznika nr 1 do zaproszenia oferta ust. 2 oraz ogłoszenia – Mamy dwa różne momenty od których należy liczyć bieg terminu</w:t>
      </w:r>
      <w:r w:rsidR="00A44FE8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płatności: datę wystawienia i datę dostarczenia faktury. Data wystawienia i data dostarczenia nie są tymi samymi</w:t>
      </w:r>
      <w:r w:rsidR="00A44FE8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datami. W związku z tym proponujemy rozważenie wprowadzenia jednoznacznej formuły obliczania terminu</w:t>
      </w:r>
      <w:r w:rsidR="00A44FE8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płatności w ten sposób, że będzie on liczony od daty wystawienia. Taki zapis w sposób jednoznaczny określa</w:t>
      </w:r>
      <w:r w:rsidR="00A44FE8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chwile rozpoczęcia biegu terminu płatności, co także pozwoli na uniknięcie wątpliwości związanych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z rozpoczęciem biegu terminu płatności.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Odpowiedź na pytanie 2: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44FE8" w:rsidRDefault="00A44FE8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Zamawiający wprowadza zmianę ust. 4 </w:t>
      </w:r>
      <w:proofErr w:type="spellStart"/>
      <w:r>
        <w:rPr>
          <w:rFonts w:ascii="Tahoma" w:hAnsi="Tahoma" w:cs="Tahoma"/>
          <w:sz w:val="21"/>
          <w:szCs w:val="21"/>
        </w:rPr>
        <w:t>pkt</w:t>
      </w:r>
      <w:proofErr w:type="spellEnd"/>
      <w:r>
        <w:rPr>
          <w:rFonts w:ascii="Tahoma" w:hAnsi="Tahoma" w:cs="Tahoma"/>
          <w:sz w:val="21"/>
          <w:szCs w:val="21"/>
        </w:rPr>
        <w:t xml:space="preserve"> 4.6. za</w:t>
      </w:r>
      <w:r w:rsidR="003A20CF">
        <w:rPr>
          <w:rFonts w:ascii="Tahoma" w:hAnsi="Tahoma" w:cs="Tahoma"/>
          <w:sz w:val="21"/>
          <w:szCs w:val="21"/>
        </w:rPr>
        <w:t>proszenia</w:t>
      </w:r>
      <w:r>
        <w:rPr>
          <w:rFonts w:ascii="Tahoma" w:hAnsi="Tahoma" w:cs="Tahoma"/>
          <w:sz w:val="21"/>
          <w:szCs w:val="21"/>
        </w:rPr>
        <w:t>, który otrzymuje brzmienie:</w:t>
      </w:r>
    </w:p>
    <w:p w:rsidR="00A44FE8" w:rsidRPr="005476FD" w:rsidRDefault="00A44FE8" w:rsidP="00A44FE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Pr="005476FD">
        <w:rPr>
          <w:rFonts w:ascii="Tahoma" w:hAnsi="Tahoma" w:cs="Tahoma"/>
          <w:sz w:val="21"/>
          <w:szCs w:val="21"/>
        </w:rPr>
        <w:t xml:space="preserve">Płatności za sukcesywnie realizowane dostawy oleju następować będą w terminie 30 dni od dnia  </w:t>
      </w:r>
      <w:r w:rsidRPr="00A44FE8">
        <w:rPr>
          <w:rFonts w:ascii="Tahoma" w:hAnsi="Tahoma" w:cs="Tahoma"/>
          <w:sz w:val="21"/>
          <w:szCs w:val="21"/>
        </w:rPr>
        <w:t>wystawienia</w:t>
      </w:r>
      <w:r w:rsidRPr="005476FD">
        <w:rPr>
          <w:rFonts w:ascii="Tahoma" w:hAnsi="Tahoma" w:cs="Tahoma"/>
          <w:sz w:val="21"/>
          <w:szCs w:val="21"/>
        </w:rPr>
        <w:t xml:space="preserve"> faktury, z zastrzeżeniem, iż faktura będzie kompletna, tj. z ewentualnym oświadczeniem podwykonawcy o dokonaniu na jego rzecz płatności przez Wykonawcę.</w:t>
      </w:r>
      <w:r>
        <w:rPr>
          <w:rFonts w:ascii="Tahoma" w:hAnsi="Tahoma" w:cs="Tahoma"/>
          <w:sz w:val="21"/>
          <w:szCs w:val="21"/>
        </w:rPr>
        <w:t>”</w:t>
      </w:r>
    </w:p>
    <w:p w:rsidR="00DA607F" w:rsidRPr="00DA607F" w:rsidRDefault="00A44FE8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 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3.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Dot. zaproszenia ust. 11 i ogłoszenia (termin związania ofertą 30 dni), załącznika nr 1 do zaproszenia oferta</w:t>
      </w:r>
      <w:r w:rsidR="00A44FE8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ust. 3 (20 dni) – Mamy różne ter</w:t>
      </w:r>
      <w:r w:rsidR="001D4B9B">
        <w:rPr>
          <w:rFonts w:ascii="Tahoma" w:hAnsi="Tahoma" w:cs="Tahoma"/>
          <w:sz w:val="21"/>
          <w:szCs w:val="21"/>
        </w:rPr>
        <w:t>miny związania ofertą. Proszę o </w:t>
      </w:r>
      <w:r w:rsidRPr="00DA607F">
        <w:rPr>
          <w:rFonts w:ascii="Tahoma" w:hAnsi="Tahoma" w:cs="Tahoma"/>
          <w:sz w:val="21"/>
          <w:szCs w:val="21"/>
        </w:rPr>
        <w:t>doprecyzowanie terminu związania ofertą?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Odpowiedź na pytanie </w:t>
      </w:r>
      <w:r w:rsidRPr="00DA607F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: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Zamawiający poprawia termin związania ofertą w załączniku nr 1 do zaproszenia – oferta – na 30 dni</w:t>
      </w:r>
      <w:r w:rsidR="00C70507">
        <w:rPr>
          <w:rFonts w:ascii="Tahoma" w:hAnsi="Tahoma" w:cs="Tahoma"/>
          <w:sz w:val="21"/>
          <w:szCs w:val="21"/>
        </w:rPr>
        <w:t xml:space="preserve"> poprzez zmianę zapisu ust</w:t>
      </w:r>
      <w:r w:rsidRPr="00DA607F">
        <w:rPr>
          <w:rFonts w:ascii="Tahoma" w:hAnsi="Tahoma" w:cs="Tahoma"/>
          <w:sz w:val="21"/>
          <w:szCs w:val="21"/>
        </w:rPr>
        <w:t>.</w:t>
      </w:r>
      <w:r w:rsidR="00C70507">
        <w:rPr>
          <w:rFonts w:ascii="Tahoma" w:hAnsi="Tahoma" w:cs="Tahoma"/>
          <w:sz w:val="21"/>
          <w:szCs w:val="21"/>
        </w:rPr>
        <w:t xml:space="preserve"> 3 w załączniku nr 1 do zaproszenia – ofercie</w:t>
      </w:r>
      <w:r w:rsidR="00F33E89">
        <w:rPr>
          <w:rFonts w:ascii="Tahoma" w:hAnsi="Tahoma" w:cs="Tahoma"/>
          <w:sz w:val="21"/>
          <w:szCs w:val="21"/>
        </w:rPr>
        <w:t>, który otrzymuje brzmienie</w:t>
      </w:r>
      <w:r w:rsidR="00C70507">
        <w:rPr>
          <w:rFonts w:ascii="Tahoma" w:hAnsi="Tahoma" w:cs="Tahoma"/>
          <w:sz w:val="21"/>
          <w:szCs w:val="21"/>
        </w:rPr>
        <w:t>:</w:t>
      </w:r>
    </w:p>
    <w:p w:rsid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70507" w:rsidRPr="00DA607F" w:rsidRDefault="00C70507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Pr="00C70507">
        <w:rPr>
          <w:rFonts w:ascii="Tahoma" w:hAnsi="Tahoma" w:cs="Tahoma"/>
          <w:sz w:val="21"/>
          <w:szCs w:val="21"/>
        </w:rPr>
        <w:t xml:space="preserve">UWAŻMY SIĘ za związanych niniejsza ofertą przez czas wskazany w zaproszeniu, tj. przez okres </w:t>
      </w:r>
      <w:r>
        <w:rPr>
          <w:rFonts w:ascii="Tahoma" w:hAnsi="Tahoma" w:cs="Tahoma"/>
          <w:sz w:val="21"/>
          <w:szCs w:val="21"/>
        </w:rPr>
        <w:t>3</w:t>
      </w:r>
      <w:r w:rsidRPr="00C70507">
        <w:rPr>
          <w:rFonts w:ascii="Tahoma" w:hAnsi="Tahoma" w:cs="Tahoma"/>
          <w:sz w:val="21"/>
          <w:szCs w:val="21"/>
        </w:rPr>
        <w:t>0 dni od upływu terminu składania ofert.</w:t>
      </w:r>
      <w:r>
        <w:rPr>
          <w:rFonts w:ascii="Tahoma" w:hAnsi="Tahoma" w:cs="Tahoma"/>
          <w:sz w:val="21"/>
          <w:szCs w:val="21"/>
        </w:rPr>
        <w:t>”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4.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 xml:space="preserve">Dot. zaproszenia ust. 4 </w:t>
      </w:r>
      <w:proofErr w:type="spellStart"/>
      <w:r w:rsidRPr="00DA607F">
        <w:rPr>
          <w:rFonts w:ascii="Tahoma" w:hAnsi="Tahoma" w:cs="Tahoma"/>
          <w:sz w:val="21"/>
          <w:szCs w:val="21"/>
        </w:rPr>
        <w:t>pkt</w:t>
      </w:r>
      <w:proofErr w:type="spellEnd"/>
      <w:r w:rsidRPr="00DA607F">
        <w:rPr>
          <w:rFonts w:ascii="Tahoma" w:hAnsi="Tahoma" w:cs="Tahoma"/>
          <w:sz w:val="21"/>
          <w:szCs w:val="21"/>
        </w:rPr>
        <w:t xml:space="preserve"> 4.3. (dostawy będą realizowane w granicach od 16 m</w:t>
      </w:r>
      <w:r w:rsidRPr="001D4B9B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 xml:space="preserve"> do 18 m</w:t>
      </w:r>
      <w:r w:rsidRPr="001D4B9B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>), § 2 ust. 3 załącznika nr 3 projektu umowy (od 12.000 do 18.000 litrów) – Mamy dwie różne minimalne ilości dostaw. Prosimy o doprecyzowanie minimalnej granicy dostaw.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Odpowiedź na pytanie</w:t>
      </w:r>
      <w:r>
        <w:rPr>
          <w:rFonts w:ascii="Tahoma" w:hAnsi="Tahoma" w:cs="Tahoma"/>
          <w:sz w:val="21"/>
          <w:szCs w:val="21"/>
        </w:rPr>
        <w:t xml:space="preserve"> 4</w:t>
      </w:r>
      <w:r w:rsidRPr="00DA607F">
        <w:rPr>
          <w:rFonts w:ascii="Tahoma" w:hAnsi="Tahoma" w:cs="Tahoma"/>
          <w:sz w:val="21"/>
          <w:szCs w:val="21"/>
        </w:rPr>
        <w:t>:</w:t>
      </w:r>
    </w:p>
    <w:p w:rsid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Zamawiający poprawia omyłkę poprzez zmianę zapisu w § 2 ust. 3 załącznika nr 3 projektu umowy</w:t>
      </w:r>
      <w:r w:rsidR="00C70507">
        <w:rPr>
          <w:rFonts w:ascii="Tahoma" w:hAnsi="Tahoma" w:cs="Tahoma"/>
          <w:sz w:val="21"/>
          <w:szCs w:val="21"/>
        </w:rPr>
        <w:t xml:space="preserve">, który otrzymuje brzmienie: </w:t>
      </w:r>
      <w:r w:rsidRPr="00DA607F">
        <w:rPr>
          <w:rFonts w:ascii="Tahoma" w:hAnsi="Tahoma" w:cs="Tahoma"/>
          <w:sz w:val="21"/>
          <w:szCs w:val="21"/>
        </w:rPr>
        <w:t xml:space="preserve"> </w:t>
      </w:r>
    </w:p>
    <w:p w:rsidR="00C70507" w:rsidRDefault="00C70507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70507" w:rsidRPr="00DA607F" w:rsidRDefault="00C70507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Pr="00C70507">
        <w:rPr>
          <w:rFonts w:ascii="Tahoma" w:hAnsi="Tahoma" w:cs="Tahoma"/>
          <w:sz w:val="21"/>
          <w:szCs w:val="21"/>
        </w:rPr>
        <w:t xml:space="preserve">Dostawy paliwa realizowane będą sukcesywnie w partiach </w:t>
      </w:r>
      <w:r w:rsidRPr="00C70507">
        <w:rPr>
          <w:rFonts w:ascii="Tahoma" w:hAnsi="Tahoma" w:cs="Tahoma"/>
          <w:sz w:val="21"/>
          <w:szCs w:val="21"/>
          <w:u w:val="single"/>
        </w:rPr>
        <w:t xml:space="preserve">w dni robocze od poniedziałku do piątku z wyłączeniem dni ustawowo wolnych od pracy zgodnie z art. 1 ust.1 ustawy z dnia 18 stycznia 1951 roku o dniach wolnych od pracy (tekst jedn. Dz. 2015 poz. 90 z </w:t>
      </w:r>
      <w:proofErr w:type="spellStart"/>
      <w:r w:rsidRPr="00C70507">
        <w:rPr>
          <w:rFonts w:ascii="Tahoma" w:hAnsi="Tahoma" w:cs="Tahoma"/>
          <w:sz w:val="21"/>
          <w:szCs w:val="21"/>
          <w:u w:val="single"/>
        </w:rPr>
        <w:t>późn</w:t>
      </w:r>
      <w:proofErr w:type="spellEnd"/>
      <w:r w:rsidRPr="00C70507">
        <w:rPr>
          <w:rFonts w:ascii="Tahoma" w:hAnsi="Tahoma" w:cs="Tahoma"/>
          <w:sz w:val="21"/>
          <w:szCs w:val="21"/>
          <w:u w:val="single"/>
        </w:rPr>
        <w:t>. zm.).</w:t>
      </w:r>
      <w:r w:rsidRPr="00C70507">
        <w:rPr>
          <w:rFonts w:ascii="Tahoma" w:hAnsi="Tahoma" w:cs="Tahoma"/>
          <w:sz w:val="21"/>
          <w:szCs w:val="21"/>
        </w:rPr>
        <w:t xml:space="preserve"> Każda dostawa mieścić sie będzie w granicach od 1</w:t>
      </w:r>
      <w:r>
        <w:rPr>
          <w:rFonts w:ascii="Tahoma" w:hAnsi="Tahoma" w:cs="Tahoma"/>
          <w:sz w:val="21"/>
          <w:szCs w:val="21"/>
        </w:rPr>
        <w:t>6</w:t>
      </w:r>
      <w:r w:rsidRPr="00C70507">
        <w:rPr>
          <w:rFonts w:ascii="Tahoma" w:hAnsi="Tahoma" w:cs="Tahoma"/>
          <w:sz w:val="21"/>
          <w:szCs w:val="21"/>
        </w:rPr>
        <w:t xml:space="preserve"> 000 do 18 000 litrów – w zależności od potrzeb Zamawiającego, </w:t>
      </w:r>
      <w:r w:rsidRPr="00C70507">
        <w:rPr>
          <w:rFonts w:ascii="Tahoma" w:hAnsi="Tahoma" w:cs="Tahoma"/>
          <w:sz w:val="21"/>
          <w:szCs w:val="21"/>
          <w:u w:val="single"/>
        </w:rPr>
        <w:t>autocysternami w godzinach od 7.00 do 14.30</w:t>
      </w:r>
      <w:r w:rsidRPr="00C70507">
        <w:rPr>
          <w:rFonts w:ascii="Tahoma" w:hAnsi="Tahoma" w:cs="Tahoma"/>
          <w:sz w:val="21"/>
          <w:szCs w:val="21"/>
        </w:rPr>
        <w:t>, Zamawiający wymaga, by do godziny 14:30 paliwo zostało zlane z cysterny do zbiorników Zamawiającego (</w:t>
      </w:r>
      <w:r w:rsidRPr="00C70507">
        <w:rPr>
          <w:rFonts w:ascii="Tahoma" w:hAnsi="Tahoma" w:cs="Tahoma"/>
          <w:sz w:val="21"/>
          <w:szCs w:val="21"/>
          <w:u w:val="single"/>
        </w:rPr>
        <w:t>wyjątkowo do 18.00 po uprzednim telefonicznym powiadomieniu Zamawiającego</w:t>
      </w:r>
      <w:r w:rsidRPr="00C70507"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z w:val="21"/>
          <w:szCs w:val="21"/>
        </w:rPr>
        <w:t>”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5.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Dot. załącznika nr 1 do zaproszenia oferta: w kolumnie 4 tabeli, do porównania ofert Zamawiający wskazuje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10.01.2017 r. dla ONX</w:t>
      </w:r>
      <w:r w:rsidRPr="00DA607F">
        <w:rPr>
          <w:rFonts w:ascii="Tahoma" w:hAnsi="Tahoma" w:cs="Tahoma"/>
          <w:sz w:val="21"/>
          <w:szCs w:val="21"/>
          <w:vertAlign w:val="subscript"/>
        </w:rPr>
        <w:t>1</w:t>
      </w:r>
      <w:r w:rsidRPr="00DA607F">
        <w:rPr>
          <w:rFonts w:ascii="Tahoma" w:hAnsi="Tahoma" w:cs="Tahoma"/>
          <w:sz w:val="21"/>
          <w:szCs w:val="21"/>
        </w:rPr>
        <w:t>, dzień na który należy podać cenę hurtową netto 1 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>, natomiast w stosownym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objaśnieniu pod tabelą i pozostałych dokumentach jest wskazany dzień 03.09.2018 r. W związku z tym, na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jaki dzień należy podać cenę jednostkową 1 m</w:t>
      </w:r>
      <w:r w:rsidRPr="00DA607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 xml:space="preserve"> ONX1 w celu porównania ofert?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Odpowiedź na pytanie</w:t>
      </w:r>
      <w:r>
        <w:rPr>
          <w:rFonts w:ascii="Tahoma" w:hAnsi="Tahoma" w:cs="Tahoma"/>
          <w:sz w:val="21"/>
          <w:szCs w:val="21"/>
        </w:rPr>
        <w:t xml:space="preserve"> 5</w:t>
      </w:r>
      <w:r w:rsidRPr="00DA607F">
        <w:rPr>
          <w:rFonts w:ascii="Tahoma" w:hAnsi="Tahoma" w:cs="Tahoma"/>
          <w:sz w:val="21"/>
          <w:szCs w:val="21"/>
        </w:rPr>
        <w:t>:</w:t>
      </w:r>
    </w:p>
    <w:p w:rsid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Zamawiający poprawia omyłkę poprzez zmianę zapisu w oferci</w:t>
      </w:r>
      <w:r w:rsidR="001D4B9B">
        <w:rPr>
          <w:rFonts w:ascii="Tahoma" w:hAnsi="Tahoma" w:cs="Tahoma"/>
          <w:sz w:val="21"/>
          <w:szCs w:val="21"/>
        </w:rPr>
        <w:t>e nr 1 do zaproszenia oferta: w </w:t>
      </w:r>
      <w:r w:rsidRPr="00DA607F">
        <w:rPr>
          <w:rFonts w:ascii="Tahoma" w:hAnsi="Tahoma" w:cs="Tahoma"/>
          <w:sz w:val="21"/>
          <w:szCs w:val="21"/>
        </w:rPr>
        <w:t>kolumnie 4 tabeli, do porównania ofert Zamawiający wskazuje 3.09. 2018 r. i na ten dzień należy podać cenę jednostkową 1</w:t>
      </w:r>
      <w:r w:rsidR="002932AA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m</w:t>
      </w:r>
      <w:r w:rsidRPr="0040715F">
        <w:rPr>
          <w:rFonts w:ascii="Tahoma" w:hAnsi="Tahoma" w:cs="Tahoma"/>
          <w:sz w:val="21"/>
          <w:szCs w:val="21"/>
          <w:vertAlign w:val="superscript"/>
        </w:rPr>
        <w:t>3</w:t>
      </w:r>
      <w:r w:rsidRPr="00DA607F">
        <w:rPr>
          <w:rFonts w:ascii="Tahoma" w:hAnsi="Tahoma" w:cs="Tahoma"/>
          <w:sz w:val="21"/>
          <w:szCs w:val="21"/>
        </w:rPr>
        <w:t xml:space="preserve"> ONX</w:t>
      </w:r>
      <w:r w:rsidRPr="0040715F">
        <w:rPr>
          <w:rFonts w:ascii="Tahoma" w:hAnsi="Tahoma" w:cs="Tahoma"/>
          <w:sz w:val="21"/>
          <w:szCs w:val="21"/>
          <w:vertAlign w:val="subscript"/>
        </w:rPr>
        <w:t>1</w:t>
      </w:r>
      <w:r w:rsidRPr="00DA607F">
        <w:rPr>
          <w:rFonts w:ascii="Tahoma" w:hAnsi="Tahoma" w:cs="Tahoma"/>
          <w:sz w:val="21"/>
          <w:szCs w:val="21"/>
        </w:rPr>
        <w:t xml:space="preserve"> </w:t>
      </w:r>
      <w:r w:rsidR="002932AA">
        <w:rPr>
          <w:rFonts w:ascii="Tahoma" w:hAnsi="Tahoma" w:cs="Tahoma"/>
          <w:sz w:val="21"/>
          <w:szCs w:val="21"/>
        </w:rPr>
        <w:t xml:space="preserve"> i ONX</w:t>
      </w:r>
      <w:r w:rsidR="002932AA" w:rsidRPr="002932AA">
        <w:rPr>
          <w:rFonts w:ascii="Tahoma" w:hAnsi="Tahoma" w:cs="Tahoma"/>
          <w:sz w:val="21"/>
          <w:szCs w:val="21"/>
          <w:vertAlign w:val="subscript"/>
        </w:rPr>
        <w:t>2</w:t>
      </w:r>
      <w:r w:rsidR="002932AA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 xml:space="preserve">w celu porównania ofert.  </w:t>
      </w:r>
    </w:p>
    <w:p w:rsidR="00F33E89" w:rsidRPr="00DA607F" w:rsidRDefault="00F33E89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Zamawiający pub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6.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Czy Zamawiający wyrazi zgodę na odstąpienie od zabezpieczenia należytego wykonania umowy? Odstąpienie</w:t>
      </w:r>
      <w:r w:rsidR="0040715F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od zabezpieczenia spowoduje obniżenie kosztów przetargu co pozwoli na złożenie jak najkorzystniejszej</w:t>
      </w:r>
      <w:r w:rsidR="0040715F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oferty poza tym Wykonawca daje rękojmię wł</w:t>
      </w:r>
      <w:r w:rsidR="001D4B9B">
        <w:rPr>
          <w:rFonts w:ascii="Tahoma" w:hAnsi="Tahoma" w:cs="Tahoma"/>
          <w:sz w:val="21"/>
          <w:szCs w:val="21"/>
        </w:rPr>
        <w:t>aściwego wykonania przedmiotu i </w:t>
      </w:r>
      <w:r w:rsidRPr="00DA607F">
        <w:rPr>
          <w:rFonts w:ascii="Tahoma" w:hAnsi="Tahoma" w:cs="Tahoma"/>
          <w:sz w:val="21"/>
          <w:szCs w:val="21"/>
        </w:rPr>
        <w:t>sposobu zamówienia.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Odpowiedź na pytanie</w:t>
      </w:r>
      <w:r w:rsidR="0040715F">
        <w:rPr>
          <w:rFonts w:ascii="Tahoma" w:hAnsi="Tahoma" w:cs="Tahoma"/>
          <w:sz w:val="21"/>
          <w:szCs w:val="21"/>
        </w:rPr>
        <w:t xml:space="preserve"> 6</w:t>
      </w:r>
      <w:r w:rsidRPr="00DA607F">
        <w:rPr>
          <w:rFonts w:ascii="Tahoma" w:hAnsi="Tahoma" w:cs="Tahoma"/>
          <w:sz w:val="21"/>
          <w:szCs w:val="21"/>
        </w:rPr>
        <w:t>: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2932AA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Zamawiający nie wyraża zgody na odstąpienie od zabezpieczenia należytego wykonania umowy 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7.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Kara umowa, o której mowa w § 10 ust. 2.2 określona została wadliwie. Taki zapis oznacza de facto obowiązek</w:t>
      </w:r>
      <w:r w:rsidR="0040715F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zapłaty odszkodowania (a nie kary umownej!), którego wysokość podlega wykazaniu przez Zamawiającego.</w:t>
      </w:r>
      <w:r w:rsidR="002932AA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Sytuacje opisane w ust. 2.2. mieszczą się w regulacji dotyczącej tzw. odszkodowania uzupełniającego, która</w:t>
      </w:r>
      <w:r w:rsidR="0040715F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znajduje się w § 10 ust. 3. W naszej ocenie z</w:t>
      </w:r>
      <w:r w:rsidR="001D4B9B">
        <w:rPr>
          <w:rFonts w:ascii="Tahoma" w:hAnsi="Tahoma" w:cs="Tahoma"/>
          <w:sz w:val="21"/>
          <w:szCs w:val="21"/>
        </w:rPr>
        <w:t>apis w </w:t>
      </w:r>
      <w:r w:rsidRPr="00DA607F">
        <w:rPr>
          <w:rFonts w:ascii="Tahoma" w:hAnsi="Tahoma" w:cs="Tahoma"/>
          <w:sz w:val="21"/>
          <w:szCs w:val="21"/>
        </w:rPr>
        <w:t>ust. 2.2. powinien zostać skreślony.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Odpowiedź na pytanie</w:t>
      </w:r>
      <w:r w:rsidR="0040715F">
        <w:rPr>
          <w:rFonts w:ascii="Tahoma" w:hAnsi="Tahoma" w:cs="Tahoma"/>
          <w:sz w:val="21"/>
          <w:szCs w:val="21"/>
        </w:rPr>
        <w:t xml:space="preserve"> 7</w:t>
      </w:r>
      <w:r w:rsidRPr="00DA607F">
        <w:rPr>
          <w:rFonts w:ascii="Tahoma" w:hAnsi="Tahoma" w:cs="Tahoma"/>
          <w:sz w:val="21"/>
          <w:szCs w:val="21"/>
        </w:rPr>
        <w:t>:</w:t>
      </w:r>
    </w:p>
    <w:p w:rsid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932AA" w:rsidRPr="00DA607F" w:rsidRDefault="002932AA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Zamawiający </w:t>
      </w:r>
      <w:r w:rsidRPr="002932AA">
        <w:rPr>
          <w:rFonts w:ascii="Tahoma" w:hAnsi="Tahoma" w:cs="Tahoma"/>
          <w:sz w:val="21"/>
          <w:szCs w:val="21"/>
        </w:rPr>
        <w:t>wyraża zgodę na usunięcie z treści projektu umowy</w:t>
      </w:r>
      <w:r w:rsidR="001D4B9B">
        <w:rPr>
          <w:rFonts w:ascii="Tahoma" w:hAnsi="Tahoma" w:cs="Tahoma"/>
          <w:sz w:val="21"/>
          <w:szCs w:val="21"/>
        </w:rPr>
        <w:t xml:space="preserve"> postanowień § 10 ust. 2.2. – w </w:t>
      </w:r>
      <w:r w:rsidRPr="002932AA">
        <w:rPr>
          <w:rFonts w:ascii="Tahoma" w:hAnsi="Tahoma" w:cs="Tahoma"/>
          <w:sz w:val="21"/>
          <w:szCs w:val="21"/>
        </w:rPr>
        <w:t>związku z tym zmieni się numeracja w ten sposób że dotychczasowy ust. 2.3 § 10 stanie się ust.</w:t>
      </w:r>
      <w:r>
        <w:rPr>
          <w:rFonts w:ascii="Tahoma" w:hAnsi="Tahoma" w:cs="Tahoma"/>
          <w:sz w:val="21"/>
          <w:szCs w:val="21"/>
        </w:rPr>
        <w:t xml:space="preserve"> </w:t>
      </w:r>
      <w:r w:rsidRPr="002932AA">
        <w:rPr>
          <w:rFonts w:ascii="Tahoma" w:hAnsi="Tahoma" w:cs="Tahoma"/>
          <w:sz w:val="21"/>
          <w:szCs w:val="21"/>
        </w:rPr>
        <w:t>2.2</w:t>
      </w:r>
      <w:r>
        <w:rPr>
          <w:rFonts w:ascii="Tahoma" w:hAnsi="Tahoma" w:cs="Tahoma"/>
          <w:sz w:val="21"/>
          <w:szCs w:val="21"/>
        </w:rPr>
        <w:t>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8.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Czy Zamawiający posiada i okaże Wykonawcy aktualne decyzje UDT dopuszczające zbiorniki do eksploatacji,</w:t>
      </w:r>
      <w:r w:rsidR="002932AA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jeżeli zbiornik podlega pod UDT lub złoży stosowne oświadczenie odbiorcy, że zbiornik nie podlega pod UDT?</w:t>
      </w:r>
    </w:p>
    <w:p w:rsidR="001D4B9B" w:rsidRDefault="001D4B9B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Odpowiedź na pytanie:</w:t>
      </w:r>
    </w:p>
    <w:p w:rsidR="002932AA" w:rsidRPr="00DA607F" w:rsidRDefault="002932AA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Zamawiający posiada i okaże Wykonawcy aktualne decyzje UDT </w:t>
      </w:r>
      <w:r w:rsidR="00435F20">
        <w:rPr>
          <w:rFonts w:ascii="Tahoma" w:hAnsi="Tahoma" w:cs="Tahoma"/>
          <w:sz w:val="21"/>
          <w:szCs w:val="21"/>
        </w:rPr>
        <w:t>dopuszczające zbiorniki Zamawiającego do eksploatacji.</w:t>
      </w:r>
      <w:r>
        <w:rPr>
          <w:rFonts w:ascii="Tahoma" w:hAnsi="Tahoma" w:cs="Tahoma"/>
          <w:sz w:val="21"/>
          <w:szCs w:val="21"/>
        </w:rPr>
        <w:t xml:space="preserve">  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9.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 xml:space="preserve"> W związku z pytaniem nr 8, czy Zamawiający okaże wykonawcy aktualne świadectwa legalizacji jeżeli zbiorniki</w:t>
      </w:r>
      <w:r w:rsidR="00435F20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podlegają pod wymóg legalizacji albo złoży oświadczenie, że zbiornik nie podlega pod wymóg legalizacji?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A607F">
        <w:rPr>
          <w:rFonts w:ascii="Tahoma" w:hAnsi="Tahoma" w:cs="Tahoma"/>
          <w:sz w:val="21"/>
          <w:szCs w:val="21"/>
        </w:rPr>
        <w:t>Odpowiedź na pytanie:</w:t>
      </w:r>
    </w:p>
    <w:p w:rsidR="00596B2F" w:rsidRPr="00DA607F" w:rsidRDefault="00596B2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96B2F">
        <w:rPr>
          <w:rFonts w:ascii="Tahoma" w:hAnsi="Tahoma" w:cs="Tahoma"/>
          <w:sz w:val="21"/>
          <w:szCs w:val="21"/>
        </w:rPr>
        <w:t>Zamawiający nie zamierza dokonywać odbiorów niezgodnie z obowiązującym prawem.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Pytanie</w:t>
      </w:r>
      <w:r w:rsidRPr="00DA607F">
        <w:rPr>
          <w:rFonts w:ascii="Tahoma" w:hAnsi="Tahoma" w:cs="Tahoma"/>
          <w:sz w:val="21"/>
          <w:szCs w:val="21"/>
        </w:rPr>
        <w:t xml:space="preserve"> 10. </w:t>
      </w: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DA607F">
        <w:rPr>
          <w:rFonts w:ascii="Tahoma" w:hAnsi="Tahoma" w:cs="Tahoma"/>
          <w:sz w:val="21"/>
          <w:szCs w:val="21"/>
        </w:rPr>
        <w:t>W związku z pytaniem nr 8 i 9, czy Zamawiający złoży oświadczenie, że jego zbiorniki spełniają wymagania</w:t>
      </w:r>
      <w:r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techniczne, budowl</w:t>
      </w:r>
      <w:r w:rsidR="00435F20">
        <w:rPr>
          <w:rFonts w:ascii="Tahoma" w:hAnsi="Tahoma" w:cs="Tahoma"/>
          <w:sz w:val="21"/>
          <w:szCs w:val="21"/>
        </w:rPr>
        <w:t>a</w:t>
      </w:r>
      <w:r w:rsidRPr="00DA607F">
        <w:rPr>
          <w:rFonts w:ascii="Tahoma" w:hAnsi="Tahoma" w:cs="Tahoma"/>
          <w:sz w:val="21"/>
          <w:szCs w:val="21"/>
        </w:rPr>
        <w:t xml:space="preserve">ne, ochrony środowiska i </w:t>
      </w:r>
      <w:proofErr w:type="spellStart"/>
      <w:r w:rsidRPr="00DA607F">
        <w:rPr>
          <w:rFonts w:ascii="Tahoma" w:hAnsi="Tahoma" w:cs="Tahoma"/>
          <w:sz w:val="21"/>
          <w:szCs w:val="21"/>
        </w:rPr>
        <w:t>p.poż</w:t>
      </w:r>
      <w:proofErr w:type="spellEnd"/>
      <w:r w:rsidRPr="00DA607F">
        <w:rPr>
          <w:rFonts w:ascii="Tahoma" w:hAnsi="Tahoma" w:cs="Tahoma"/>
          <w:sz w:val="21"/>
          <w:szCs w:val="21"/>
        </w:rPr>
        <w:t xml:space="preserve"> pod rygorem regresu cywilnoprawnego za podanie</w:t>
      </w:r>
      <w:r w:rsidR="00435F20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sz w:val="21"/>
          <w:szCs w:val="21"/>
        </w:rPr>
        <w:t>nieprawdy w przypadku kary ze strony Prezesa URE za naruszenie koncesji po stronie wykonawcy za</w:t>
      </w:r>
      <w:r w:rsidR="00435F20">
        <w:rPr>
          <w:rFonts w:ascii="Tahoma" w:hAnsi="Tahoma" w:cs="Tahoma"/>
          <w:sz w:val="21"/>
          <w:szCs w:val="21"/>
        </w:rPr>
        <w:t xml:space="preserve"> </w:t>
      </w:r>
      <w:r w:rsidRPr="00DA607F">
        <w:rPr>
          <w:rFonts w:ascii="Tahoma" w:hAnsi="Tahoma" w:cs="Tahoma"/>
          <w:b/>
          <w:sz w:val="21"/>
          <w:szCs w:val="21"/>
          <w:u w:val="single"/>
        </w:rPr>
        <w:t>dostarczenie paliw do niesprawnej technicznie infrastruktury wraz z możliwością odmowy dostawy paliw w</w:t>
      </w:r>
      <w:r w:rsidR="00435F20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DA607F">
        <w:rPr>
          <w:rFonts w:ascii="Tahoma" w:hAnsi="Tahoma" w:cs="Tahoma"/>
          <w:b/>
          <w:sz w:val="21"/>
          <w:szCs w:val="21"/>
          <w:u w:val="single"/>
        </w:rPr>
        <w:t>przypadku gdy Zamawiający odmówi podpisania takiego oświadczenia?</w:t>
      </w:r>
    </w:p>
    <w:p w:rsidR="00435F20" w:rsidRDefault="00435F20" w:rsidP="00DA607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DA607F" w:rsidRPr="001D4B9B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D4B9B">
        <w:rPr>
          <w:rFonts w:ascii="Tahoma" w:hAnsi="Tahoma" w:cs="Tahoma"/>
          <w:sz w:val="21"/>
          <w:szCs w:val="21"/>
        </w:rPr>
        <w:t>Odpowiedź na pytanie:</w:t>
      </w:r>
    </w:p>
    <w:p w:rsidR="001D4B9B" w:rsidRDefault="001D4B9B" w:rsidP="00DA607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596B2F">
        <w:rPr>
          <w:rFonts w:ascii="Tahoma" w:hAnsi="Tahoma" w:cs="Tahoma"/>
          <w:sz w:val="21"/>
          <w:szCs w:val="21"/>
        </w:rPr>
        <w:t>Zamawiający nie zamierza dokonywać odbiorów niezgodnie z obowiązującym prawem.</w:t>
      </w:r>
      <w:r>
        <w:rPr>
          <w:rFonts w:ascii="Tahoma" w:hAnsi="Tahoma" w:cs="Tahoma"/>
          <w:sz w:val="21"/>
          <w:szCs w:val="21"/>
        </w:rPr>
        <w:t xml:space="preserve"> </w:t>
      </w:r>
      <w:r w:rsidRPr="001D4B9B">
        <w:rPr>
          <w:rFonts w:ascii="Tahoma" w:hAnsi="Tahoma" w:cs="Tahoma"/>
          <w:sz w:val="21"/>
          <w:szCs w:val="21"/>
        </w:rPr>
        <w:t>Zamawiający posiada sprawą technicznie infrastrukturę stwierdził to UDT decyzją  zezwalającą na użytkowanie</w:t>
      </w:r>
      <w:r>
        <w:rPr>
          <w:rFonts w:ascii="Tahoma" w:hAnsi="Tahoma" w:cs="Tahoma"/>
          <w:sz w:val="21"/>
          <w:szCs w:val="21"/>
        </w:rPr>
        <w:t>.</w:t>
      </w:r>
    </w:p>
    <w:p w:rsidR="00DA607F" w:rsidRDefault="00DA607F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DA607F" w:rsidRPr="00EC172A" w:rsidRDefault="00DA607F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45387" w:rsidRDefault="00C45387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:rsidR="003A20CF" w:rsidRDefault="003A20CF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Ponadto Zamawiający modyfikuje zapis </w:t>
      </w:r>
      <w:r w:rsidRPr="002932AA">
        <w:rPr>
          <w:rFonts w:ascii="Tahoma" w:hAnsi="Tahoma" w:cs="Tahoma"/>
          <w:sz w:val="21"/>
          <w:szCs w:val="21"/>
        </w:rPr>
        <w:t>§</w:t>
      </w:r>
      <w:r w:rsidRPr="003A20CF">
        <w:rPr>
          <w:rFonts w:ascii="Tahoma" w:hAnsi="Tahoma" w:cs="Tahoma"/>
          <w:sz w:val="21"/>
          <w:szCs w:val="21"/>
        </w:rPr>
        <w:t xml:space="preserve"> 16 ust. 1.</w:t>
      </w:r>
      <w:r>
        <w:rPr>
          <w:rFonts w:ascii="Tahoma" w:hAnsi="Tahoma" w:cs="Tahoma"/>
          <w:sz w:val="21"/>
          <w:szCs w:val="21"/>
        </w:rPr>
        <w:t xml:space="preserve"> Projektu umowy – załącznik Nr 3, który otrzymuje brzmienie:</w:t>
      </w:r>
    </w:p>
    <w:p w:rsidR="003A20CF" w:rsidRDefault="003A20CF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Pr="003A20CF">
        <w:rPr>
          <w:rFonts w:ascii="Tahoma" w:hAnsi="Tahoma" w:cs="Tahoma"/>
          <w:sz w:val="21"/>
          <w:szCs w:val="21"/>
        </w:rPr>
        <w:t>W sprawach nie uregulowanych umową mają zastosowanie przepisy Kodeksu cywilnego oraz inne obowiązujące przepisy prawa.</w:t>
      </w:r>
      <w:r>
        <w:rPr>
          <w:rFonts w:ascii="Tahoma" w:hAnsi="Tahoma" w:cs="Tahoma"/>
          <w:sz w:val="21"/>
          <w:szCs w:val="21"/>
        </w:rPr>
        <w:t>”</w:t>
      </w:r>
    </w:p>
    <w:p w:rsidR="003A20CF" w:rsidRDefault="003A20CF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Mając powyższe na uwadze Zamawiający zamieścił na stronie internetowej nowy zmodyfikowany projektu umowy – załącznik Nr 3 oraz  nowy zmodyfikowany wzór oferty – załącznik Nr 1. </w:t>
      </w:r>
    </w:p>
    <w:p w:rsidR="003A20CF" w:rsidRDefault="003A20CF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</w:p>
    <w:p w:rsidR="00DA607F" w:rsidRDefault="00435F20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35F20">
        <w:rPr>
          <w:rFonts w:ascii="Tahoma" w:hAnsi="Tahoma" w:cs="Tahoma"/>
          <w:sz w:val="21"/>
          <w:szCs w:val="21"/>
        </w:rPr>
        <w:t xml:space="preserve">Zamawiający informuje, </w:t>
      </w:r>
      <w:r>
        <w:rPr>
          <w:rFonts w:ascii="Tahoma" w:hAnsi="Tahoma" w:cs="Tahoma"/>
          <w:sz w:val="21"/>
          <w:szCs w:val="21"/>
        </w:rPr>
        <w:t>i</w:t>
      </w:r>
      <w:r w:rsidRPr="00435F20">
        <w:rPr>
          <w:rFonts w:ascii="Tahoma" w:hAnsi="Tahoma" w:cs="Tahoma"/>
          <w:sz w:val="21"/>
          <w:szCs w:val="21"/>
        </w:rPr>
        <w:t>ż</w:t>
      </w:r>
      <w:r>
        <w:rPr>
          <w:rFonts w:ascii="Tahoma" w:hAnsi="Tahoma" w:cs="Tahoma"/>
          <w:sz w:val="21"/>
          <w:szCs w:val="21"/>
        </w:rPr>
        <w:t xml:space="preserve"> powyższe wyjaśnienia i modyfikacje są wiążące dla wszystkich</w:t>
      </w:r>
      <w:r w:rsidR="003F0BC6">
        <w:rPr>
          <w:rFonts w:ascii="Tahoma" w:hAnsi="Tahoma" w:cs="Tahoma"/>
          <w:sz w:val="21"/>
          <w:szCs w:val="21"/>
        </w:rPr>
        <w:t xml:space="preserve"> wykonawców.</w:t>
      </w:r>
    </w:p>
    <w:p w:rsidR="00435F20" w:rsidRPr="00EC172A" w:rsidRDefault="00435F20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:rsidR="00153723" w:rsidRP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Z-CA PREZESA                                                </w:t>
      </w:r>
      <w:r w:rsidR="00153723" w:rsidRPr="00EC172A">
        <w:rPr>
          <w:rFonts w:ascii="Tahoma" w:hAnsi="Tahoma" w:cs="Tahoma"/>
          <w:sz w:val="21"/>
          <w:szCs w:val="21"/>
        </w:rPr>
        <w:t>PREZES ZARZADU</w:t>
      </w:r>
    </w:p>
    <w:p w:rsid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153723" w:rsidRP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  <w:r>
        <w:rPr>
          <w:rFonts w:ascii="Tahoma" w:hAnsi="Tahoma" w:cs="Tahoma"/>
          <w:sz w:val="21"/>
          <w:szCs w:val="21"/>
        </w:rPr>
        <w:t xml:space="preserve">                                                      </w:t>
      </w:r>
      <w:r w:rsidR="00153723" w:rsidRPr="00EC172A">
        <w:rPr>
          <w:rFonts w:ascii="Tahoma" w:hAnsi="Tahoma" w:cs="Tahoma"/>
          <w:sz w:val="21"/>
          <w:szCs w:val="21"/>
        </w:rPr>
        <w:t>Rafał Bałazy</w:t>
      </w:r>
    </w:p>
    <w:sectPr w:rsidR="00153723" w:rsidRPr="00EC172A" w:rsidSect="008563D5">
      <w:type w:val="continuous"/>
      <w:pgSz w:w="11909" w:h="16840"/>
      <w:pgMar w:top="1418" w:right="1492" w:bottom="993" w:left="1176" w:header="4458" w:footer="419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DF09EC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42E19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C2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144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0F"/>
    <w:multiLevelType w:val="hybridMultilevel"/>
    <w:tmpl w:val="0A441642"/>
    <w:lvl w:ilvl="0" w:tplc="C5CCC6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BF8"/>
    <w:multiLevelType w:val="hybridMultilevel"/>
    <w:tmpl w:val="683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0C95"/>
    <w:multiLevelType w:val="multilevel"/>
    <w:tmpl w:val="037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635CD5"/>
    <w:multiLevelType w:val="hybridMultilevel"/>
    <w:tmpl w:val="4A4CCE46"/>
    <w:lvl w:ilvl="0" w:tplc="F2FC3D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C08"/>
    <w:multiLevelType w:val="hybridMultilevel"/>
    <w:tmpl w:val="DBB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8D7"/>
    <w:multiLevelType w:val="hybridMultilevel"/>
    <w:tmpl w:val="34AC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0D77"/>
    <w:multiLevelType w:val="hybridMultilevel"/>
    <w:tmpl w:val="E0E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DAA"/>
    <w:multiLevelType w:val="hybridMultilevel"/>
    <w:tmpl w:val="115652BA"/>
    <w:lvl w:ilvl="0" w:tplc="97A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2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316C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0960B6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C1A2E"/>
    <w:multiLevelType w:val="hybridMultilevel"/>
    <w:tmpl w:val="A2F8B20E"/>
    <w:lvl w:ilvl="0" w:tplc="9A866E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364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5570B"/>
    <w:multiLevelType w:val="hybridMultilevel"/>
    <w:tmpl w:val="FFEA455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552E0F1B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09DF"/>
    <w:multiLevelType w:val="hybridMultilevel"/>
    <w:tmpl w:val="262E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885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EEC2FD5"/>
    <w:multiLevelType w:val="hybridMultilevel"/>
    <w:tmpl w:val="5C0EF79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743B440C"/>
    <w:multiLevelType w:val="multilevel"/>
    <w:tmpl w:val="AB98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517AEA"/>
    <w:multiLevelType w:val="hybridMultilevel"/>
    <w:tmpl w:val="869EF19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A9624C0"/>
    <w:multiLevelType w:val="multilevel"/>
    <w:tmpl w:val="174AF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7CDB2BC3"/>
    <w:multiLevelType w:val="hybridMultilevel"/>
    <w:tmpl w:val="5762C4FE"/>
    <w:lvl w:ilvl="0" w:tplc="E27419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6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23F13"/>
    <w:rsid w:val="001408C6"/>
    <w:rsid w:val="00153723"/>
    <w:rsid w:val="00155FA8"/>
    <w:rsid w:val="0017565B"/>
    <w:rsid w:val="001B215E"/>
    <w:rsid w:val="001D4B9B"/>
    <w:rsid w:val="00206278"/>
    <w:rsid w:val="002704C1"/>
    <w:rsid w:val="00277357"/>
    <w:rsid w:val="002932AA"/>
    <w:rsid w:val="002F33B0"/>
    <w:rsid w:val="00355875"/>
    <w:rsid w:val="003A20CF"/>
    <w:rsid w:val="003C0395"/>
    <w:rsid w:val="003E7460"/>
    <w:rsid w:val="003F0BC6"/>
    <w:rsid w:val="0040715F"/>
    <w:rsid w:val="00423F13"/>
    <w:rsid w:val="00435F20"/>
    <w:rsid w:val="004E54F6"/>
    <w:rsid w:val="00557CF5"/>
    <w:rsid w:val="00572F75"/>
    <w:rsid w:val="00596B2F"/>
    <w:rsid w:val="005A0181"/>
    <w:rsid w:val="0060652F"/>
    <w:rsid w:val="0068398F"/>
    <w:rsid w:val="006A422D"/>
    <w:rsid w:val="007D6880"/>
    <w:rsid w:val="007F2064"/>
    <w:rsid w:val="008563D5"/>
    <w:rsid w:val="008A35CF"/>
    <w:rsid w:val="008B05A1"/>
    <w:rsid w:val="008B3A36"/>
    <w:rsid w:val="008D0173"/>
    <w:rsid w:val="00902C3B"/>
    <w:rsid w:val="009602E5"/>
    <w:rsid w:val="009C34BE"/>
    <w:rsid w:val="00A41AFC"/>
    <w:rsid w:val="00A44FE8"/>
    <w:rsid w:val="00AA3AF7"/>
    <w:rsid w:val="00BB67D0"/>
    <w:rsid w:val="00C11679"/>
    <w:rsid w:val="00C363B6"/>
    <w:rsid w:val="00C45387"/>
    <w:rsid w:val="00C70507"/>
    <w:rsid w:val="00C84C27"/>
    <w:rsid w:val="00CD1DA4"/>
    <w:rsid w:val="00D313CE"/>
    <w:rsid w:val="00D52F3D"/>
    <w:rsid w:val="00D72A61"/>
    <w:rsid w:val="00DA607F"/>
    <w:rsid w:val="00DC2426"/>
    <w:rsid w:val="00E82976"/>
    <w:rsid w:val="00EC172A"/>
    <w:rsid w:val="00ED00EA"/>
    <w:rsid w:val="00F3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E54F6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4F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23F13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423F13"/>
    <w:pPr>
      <w:shd w:val="clear" w:color="auto" w:fill="FFFFFF"/>
      <w:spacing w:after="0" w:line="269" w:lineRule="auto"/>
      <w:jc w:val="both"/>
    </w:pPr>
    <w:rPr>
      <w:rFonts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423F13"/>
  </w:style>
  <w:style w:type="paragraph" w:styleId="Akapitzlist">
    <w:name w:val="List Paragraph"/>
    <w:basedOn w:val="Normalny"/>
    <w:link w:val="AkapitzlistZnak"/>
    <w:uiPriority w:val="34"/>
    <w:qFormat/>
    <w:rsid w:val="00423F13"/>
    <w:pPr>
      <w:spacing w:after="0" w:line="260" w:lineRule="exact"/>
      <w:ind w:left="720"/>
      <w:contextualSpacing/>
    </w:pPr>
    <w:rPr>
      <w:rFonts w:ascii="Tahoma" w:hAnsi="Tahoma"/>
      <w:color w:val="1E1E1E"/>
      <w:spacing w:val="4"/>
      <w:sz w:val="18"/>
      <w:szCs w:val="20"/>
    </w:rPr>
  </w:style>
  <w:style w:type="paragraph" w:styleId="Tytu">
    <w:name w:val="Title"/>
    <w:basedOn w:val="Normalny"/>
    <w:link w:val="TytuZnak"/>
    <w:qFormat/>
    <w:rsid w:val="00423F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3F13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63D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FontStyle24">
    <w:name w:val="Font Style24"/>
    <w:rsid w:val="007D6880"/>
    <w:rPr>
      <w:rFonts w:ascii="Times New Roman" w:hAnsi="Times New Roman" w:cs="Times New Roman" w:hint="default"/>
      <w:color w:val="000000"/>
    </w:rPr>
  </w:style>
  <w:style w:type="character" w:styleId="Odwoaniedokomentarza">
    <w:name w:val="annotation reference"/>
    <w:semiHidden/>
    <w:unhideWhenUsed/>
    <w:rsid w:val="00C4538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54F6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4F6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FE39-1179-48E6-959E-5D9578A8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ANP</cp:lastModifiedBy>
  <cp:revision>10</cp:revision>
  <cp:lastPrinted>2017-12-18T10:09:00Z</cp:lastPrinted>
  <dcterms:created xsi:type="dcterms:W3CDTF">2018-09-11T06:47:00Z</dcterms:created>
  <dcterms:modified xsi:type="dcterms:W3CDTF">2018-09-12T16:14:00Z</dcterms:modified>
</cp:coreProperties>
</file>